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7FFBA" w14:textId="77777777" w:rsidR="00F52B2C" w:rsidRPr="0019415A" w:rsidRDefault="007C34C5" w:rsidP="0019415A">
      <w:pPr>
        <w:spacing w:after="0"/>
        <w:jc w:val="center"/>
        <w:rPr>
          <w:rFonts w:ascii="Bookman Old Style" w:hAnsi="Bookman Old Style"/>
          <w:b/>
          <w:lang w:val="pl-PL"/>
        </w:rPr>
      </w:pPr>
      <w:r w:rsidRPr="0019415A">
        <w:rPr>
          <w:rFonts w:ascii="Bookman Old Style" w:hAnsi="Bookman Old Style"/>
          <w:b/>
          <w:lang w:val="pl-PL"/>
        </w:rPr>
        <w:t>OPINIA PRAWNA</w:t>
      </w:r>
    </w:p>
    <w:p w14:paraId="2A01CE52" w14:textId="77777777" w:rsidR="0019415A" w:rsidRPr="0019415A" w:rsidRDefault="0019415A" w:rsidP="0019415A">
      <w:pPr>
        <w:spacing w:after="0"/>
        <w:jc w:val="both"/>
        <w:rPr>
          <w:rFonts w:ascii="Bookman Old Style" w:hAnsi="Bookman Old Style"/>
          <w:lang w:val="pl-PL"/>
        </w:rPr>
      </w:pPr>
      <w:r w:rsidRPr="0019415A">
        <w:rPr>
          <w:rFonts w:ascii="Bookman Old Style" w:hAnsi="Bookman Old Style"/>
          <w:b/>
          <w:lang w:val="pl-PL"/>
        </w:rPr>
        <w:t xml:space="preserve">Przedmiot opinii. </w:t>
      </w:r>
      <w:r w:rsidRPr="0019415A">
        <w:rPr>
          <w:rFonts w:ascii="Bookman Old Style" w:hAnsi="Bookman Old Style"/>
          <w:lang w:val="pl-PL"/>
        </w:rPr>
        <w:t>Przedmiotem analizy jest pismo Marcina Łowickiego z 20 września 2026 r., skierowane do Rady Miejskiej w Stepnicy, zatytułowane „Petycja w sprawie nagrywania i publikowania jawnych posiedzeń komisji rady”. Wnoszący, powołując art. 63 Konstytucji RP oraz ustawę z 11 lipca 2014 r. o petycjach, domaga się ustanowienia trwałej zasady rejestrowania jawnych posiedzeń komisji, co najmniej w formie zapisu audio, oraz późniejszego publicznego udostępniania nagrań.</w:t>
      </w:r>
    </w:p>
    <w:p w14:paraId="23EE3037" w14:textId="77777777" w:rsidR="0019415A" w:rsidRPr="0019415A" w:rsidRDefault="0019415A" w:rsidP="0019415A">
      <w:pPr>
        <w:spacing w:after="0"/>
        <w:rPr>
          <w:rFonts w:ascii="Bookman Old Style" w:hAnsi="Bookman Old Style"/>
          <w:lang w:val="pl-PL"/>
        </w:rPr>
      </w:pPr>
      <w:r w:rsidRPr="0019415A">
        <w:rPr>
          <w:rFonts w:ascii="Bookman Old Style" w:hAnsi="Bookman Old Style"/>
          <w:b/>
          <w:lang w:val="pl-PL"/>
        </w:rPr>
        <w:t>Podstawy prawne i materiały:</w:t>
      </w:r>
    </w:p>
    <w:p w14:paraId="03BC6F19" w14:textId="00C4624A" w:rsidR="0019415A" w:rsidRPr="0019415A" w:rsidRDefault="0019415A" w:rsidP="0019415A">
      <w:pPr>
        <w:pStyle w:val="Akapitzlist"/>
        <w:numPr>
          <w:ilvl w:val="0"/>
          <w:numId w:val="13"/>
        </w:numPr>
        <w:spacing w:after="0"/>
        <w:jc w:val="both"/>
        <w:rPr>
          <w:rFonts w:ascii="Bookman Old Style" w:hAnsi="Bookman Old Style"/>
          <w:lang w:val="pl-PL"/>
        </w:rPr>
      </w:pPr>
      <w:r w:rsidRPr="0019415A">
        <w:rPr>
          <w:rFonts w:ascii="Bookman Old Style" w:hAnsi="Bookman Old Style"/>
          <w:lang w:val="pl-PL"/>
        </w:rPr>
        <w:t>art. 63 Konstytucji Rzeczypospolitej Polskiej;</w:t>
      </w:r>
    </w:p>
    <w:p w14:paraId="6EFEBFA3" w14:textId="676A9F3B" w:rsidR="0019415A" w:rsidRPr="0019415A" w:rsidRDefault="0019415A" w:rsidP="0019415A">
      <w:pPr>
        <w:pStyle w:val="Akapitzlist"/>
        <w:numPr>
          <w:ilvl w:val="0"/>
          <w:numId w:val="13"/>
        </w:numPr>
        <w:spacing w:after="0"/>
        <w:jc w:val="both"/>
        <w:rPr>
          <w:rFonts w:ascii="Bookman Old Style" w:hAnsi="Bookman Old Style"/>
          <w:lang w:val="pl-PL"/>
        </w:rPr>
      </w:pPr>
      <w:r w:rsidRPr="0019415A">
        <w:rPr>
          <w:rFonts w:ascii="Bookman Old Style" w:hAnsi="Bookman Old Style"/>
          <w:lang w:val="pl-PL"/>
        </w:rPr>
        <w:t>art. 2–4, art. 6–10 i art. 13 ustawy z dnia 11 lipca 2014 r. o petycjach;</w:t>
      </w:r>
    </w:p>
    <w:p w14:paraId="3E0ABAD7" w14:textId="669EC4DF" w:rsidR="0019415A" w:rsidRPr="0019415A" w:rsidRDefault="0019415A" w:rsidP="0019415A">
      <w:pPr>
        <w:pStyle w:val="Akapitzlist"/>
        <w:numPr>
          <w:ilvl w:val="0"/>
          <w:numId w:val="13"/>
        </w:numPr>
        <w:spacing w:after="0"/>
        <w:jc w:val="both"/>
        <w:rPr>
          <w:rFonts w:ascii="Bookman Old Style" w:hAnsi="Bookman Old Style"/>
          <w:lang w:val="pl-PL"/>
        </w:rPr>
      </w:pPr>
      <w:r w:rsidRPr="0019415A">
        <w:rPr>
          <w:rFonts w:ascii="Bookman Old Style" w:hAnsi="Bookman Old Style"/>
          <w:lang w:val="pl-PL"/>
        </w:rPr>
        <w:t>treść petycji Marcina Łowickiego z dnia 20 września 2026 r. skierowanej do Rady Miejskiej w Stepnicy;</w:t>
      </w:r>
    </w:p>
    <w:p w14:paraId="3CAE8FDD" w14:textId="254C4ADA" w:rsidR="0019415A" w:rsidRPr="0019415A" w:rsidRDefault="0019415A" w:rsidP="0019415A">
      <w:pPr>
        <w:pStyle w:val="Akapitzlist"/>
        <w:numPr>
          <w:ilvl w:val="0"/>
          <w:numId w:val="13"/>
        </w:numPr>
        <w:spacing w:after="0"/>
        <w:jc w:val="both"/>
        <w:rPr>
          <w:rFonts w:ascii="Bookman Old Style" w:hAnsi="Bookman Old Style"/>
          <w:lang w:val="pl-PL"/>
        </w:rPr>
      </w:pPr>
      <w:r w:rsidRPr="0019415A">
        <w:rPr>
          <w:rFonts w:ascii="Bookman Old Style" w:hAnsi="Bookman Old Style"/>
          <w:lang w:val="pl-PL"/>
        </w:rPr>
        <w:t>tekst jednolity ustawy o petycjach dostępny w Elektronicznym Dzienniku Ustaw (ELI).</w:t>
      </w:r>
    </w:p>
    <w:p w14:paraId="4131A8DB" w14:textId="77777777" w:rsidR="0019415A" w:rsidRPr="0019415A" w:rsidRDefault="0019415A" w:rsidP="0019415A">
      <w:pPr>
        <w:spacing w:after="0"/>
        <w:rPr>
          <w:rFonts w:ascii="Bookman Old Style" w:hAnsi="Bookman Old Style"/>
          <w:lang w:val="pl-PL"/>
        </w:rPr>
      </w:pPr>
    </w:p>
    <w:p w14:paraId="451DFF80" w14:textId="2927B3D9" w:rsidR="0019415A" w:rsidRPr="0019415A" w:rsidRDefault="0019415A" w:rsidP="0019415A">
      <w:pPr>
        <w:spacing w:after="0"/>
        <w:rPr>
          <w:rFonts w:ascii="Bookman Old Style" w:hAnsi="Bookman Old Style"/>
          <w:lang w:val="pl-PL"/>
        </w:rPr>
      </w:pPr>
      <w:r w:rsidRPr="0019415A">
        <w:rPr>
          <w:rFonts w:ascii="Bookman Old Style" w:hAnsi="Bookman Old Style"/>
          <w:b/>
          <w:bCs/>
          <w:lang w:val="pl-PL"/>
        </w:rPr>
        <w:t>Sporządzona przez:</w:t>
      </w:r>
      <w:r w:rsidRPr="0019415A">
        <w:rPr>
          <w:rFonts w:ascii="Bookman Old Style" w:hAnsi="Bookman Old Style"/>
          <w:lang w:val="pl-PL"/>
        </w:rPr>
        <w:t xml:space="preserve"> r.pr. Wojciech Jankowski</w:t>
      </w:r>
    </w:p>
    <w:p w14:paraId="50F659FC" w14:textId="77777777" w:rsidR="0019415A" w:rsidRPr="0019415A" w:rsidRDefault="0019415A" w:rsidP="0019415A">
      <w:pPr>
        <w:spacing w:after="0"/>
        <w:rPr>
          <w:rFonts w:ascii="Bookman Old Style" w:hAnsi="Bookman Old Style"/>
          <w:lang w:val="pl-PL"/>
        </w:rPr>
      </w:pPr>
    </w:p>
    <w:p w14:paraId="578EB5E7" w14:textId="6FDA7ECA" w:rsidR="0019415A" w:rsidRDefault="0019415A" w:rsidP="0019415A">
      <w:pPr>
        <w:spacing w:after="0"/>
        <w:rPr>
          <w:rFonts w:ascii="Bookman Old Style" w:hAnsi="Bookman Old Style"/>
          <w:lang w:val="pl-PL"/>
        </w:rPr>
      </w:pPr>
      <w:r w:rsidRPr="0019415A">
        <w:rPr>
          <w:rFonts w:ascii="Bookman Old Style" w:hAnsi="Bookman Old Style"/>
          <w:b/>
          <w:bCs/>
          <w:lang w:val="pl-PL"/>
        </w:rPr>
        <w:t xml:space="preserve">Sporządzona dla: </w:t>
      </w:r>
      <w:proofErr w:type="spellStart"/>
      <w:r w:rsidRPr="0019415A">
        <w:rPr>
          <w:rFonts w:ascii="Bookman Old Style" w:hAnsi="Bookman Old Style"/>
          <w:lang w:val="pl-PL"/>
        </w:rPr>
        <w:t>Marionla</w:t>
      </w:r>
      <w:proofErr w:type="spellEnd"/>
      <w:r w:rsidRPr="0019415A">
        <w:rPr>
          <w:rFonts w:ascii="Bookman Old Style" w:hAnsi="Bookman Old Style"/>
          <w:lang w:val="pl-PL"/>
        </w:rPr>
        <w:t xml:space="preserve"> Kwiryng Sekretarz</w:t>
      </w:r>
      <w:r w:rsidRPr="0019415A">
        <w:rPr>
          <w:rFonts w:ascii="Bookman Old Style" w:hAnsi="Bookman Old Style"/>
          <w:b/>
          <w:bCs/>
          <w:lang w:val="pl-PL"/>
        </w:rPr>
        <w:t xml:space="preserve"> </w:t>
      </w:r>
      <w:r w:rsidRPr="0019415A">
        <w:rPr>
          <w:rFonts w:ascii="Bookman Old Style" w:hAnsi="Bookman Old Style"/>
          <w:lang w:val="pl-PL"/>
        </w:rPr>
        <w:t xml:space="preserve">Miasta i Gmina Stepnica </w:t>
      </w:r>
    </w:p>
    <w:p w14:paraId="0A6FC273" w14:textId="57FD53C0" w:rsidR="002475CB" w:rsidRDefault="002475CB" w:rsidP="0019415A">
      <w:pPr>
        <w:spacing w:after="0"/>
        <w:rPr>
          <w:rFonts w:ascii="Bookman Old Style" w:hAnsi="Bookman Old Style"/>
          <w:lang w:val="pl-PL"/>
        </w:rPr>
      </w:pPr>
    </w:p>
    <w:p w14:paraId="2F3A69D7" w14:textId="6D576516" w:rsidR="002475CB" w:rsidRPr="002475CB" w:rsidRDefault="002475CB" w:rsidP="0019415A">
      <w:pPr>
        <w:spacing w:after="0"/>
        <w:rPr>
          <w:rFonts w:ascii="Bookman Old Style" w:hAnsi="Bookman Old Style"/>
          <w:lang w:val="pl-PL"/>
        </w:rPr>
      </w:pPr>
      <w:proofErr w:type="gramStart"/>
      <w:r>
        <w:rPr>
          <w:rFonts w:ascii="Bookman Old Style" w:hAnsi="Bookman Old Style"/>
          <w:b/>
          <w:bCs/>
          <w:lang w:val="pl-PL"/>
        </w:rPr>
        <w:t>Data ;</w:t>
      </w:r>
      <w:proofErr w:type="gramEnd"/>
      <w:r>
        <w:rPr>
          <w:rFonts w:ascii="Bookman Old Style" w:hAnsi="Bookman Old Style"/>
          <w:b/>
          <w:bCs/>
          <w:lang w:val="pl-PL"/>
        </w:rPr>
        <w:t xml:space="preserve"> </w:t>
      </w:r>
      <w:r>
        <w:rPr>
          <w:rFonts w:ascii="Bookman Old Style" w:hAnsi="Bookman Old Style"/>
          <w:lang w:val="pl-PL"/>
        </w:rPr>
        <w:t>29 września 2026 r.</w:t>
      </w:r>
    </w:p>
    <w:p w14:paraId="36638B92" w14:textId="77777777" w:rsidR="0019415A" w:rsidRPr="0019415A" w:rsidRDefault="0019415A" w:rsidP="0019415A">
      <w:pPr>
        <w:spacing w:after="0"/>
        <w:rPr>
          <w:rFonts w:ascii="Bookman Old Style" w:hAnsi="Bookman Old Style"/>
          <w:lang w:val="pl-PL"/>
        </w:rPr>
      </w:pPr>
    </w:p>
    <w:p w14:paraId="6233314D" w14:textId="63AFDB03" w:rsidR="0019415A" w:rsidRDefault="0019415A" w:rsidP="0019415A">
      <w:pPr>
        <w:spacing w:after="0" w:line="259" w:lineRule="auto"/>
        <w:jc w:val="center"/>
        <w:rPr>
          <w:rFonts w:ascii="Bookman Old Style" w:hAnsi="Bookman Old Style"/>
          <w:b/>
          <w:bCs/>
          <w:lang w:val="pl-PL"/>
        </w:rPr>
      </w:pPr>
      <w:r w:rsidRPr="0019415A">
        <w:rPr>
          <w:rFonts w:ascii="Bookman Old Style" w:hAnsi="Bookman Old Style"/>
          <w:b/>
          <w:bCs/>
          <w:lang w:val="pl-PL"/>
        </w:rPr>
        <w:t>OPINIA PRAWNA</w:t>
      </w:r>
    </w:p>
    <w:p w14:paraId="7E70AA91" w14:textId="77777777" w:rsidR="0019415A" w:rsidRPr="0019415A" w:rsidRDefault="0019415A" w:rsidP="0019415A">
      <w:pPr>
        <w:spacing w:after="0" w:line="259" w:lineRule="auto"/>
        <w:jc w:val="center"/>
        <w:rPr>
          <w:rFonts w:ascii="Bookman Old Style" w:hAnsi="Bookman Old Style"/>
          <w:b/>
          <w:bCs/>
          <w:lang w:val="pl-PL"/>
        </w:rPr>
      </w:pPr>
    </w:p>
    <w:p w14:paraId="1728B53B" w14:textId="77777777" w:rsidR="00F52B2C" w:rsidRPr="0019415A" w:rsidRDefault="007C34C5" w:rsidP="0019415A">
      <w:pPr>
        <w:spacing w:after="0" w:line="259" w:lineRule="auto"/>
        <w:jc w:val="both"/>
        <w:rPr>
          <w:rFonts w:ascii="Bookman Old Style" w:hAnsi="Bookman Old Style"/>
          <w:lang w:val="pl-PL"/>
        </w:rPr>
      </w:pPr>
      <w:r w:rsidRPr="0019415A">
        <w:rPr>
          <w:rFonts w:ascii="Bookman Old Style" w:hAnsi="Bookman Old Style"/>
          <w:lang w:val="pl-PL"/>
        </w:rPr>
        <w:t>W mojej ocenie pismo spełnia materialne przesłanki petycji określone w art. 2 ustawy o petycjach. Zostało wniesione przez osobę fizyczną do organu władzy publicznej, w deklarowanym interesie publicznym, a jego zasadniczym przedmiotem jest żądanie podjęcia przez samorząd określonych działań dotyczących sposobu funkcjonowania komisji rady i zwiększenia jawności ich prac. Tego rodzaju postulat odnosi się do życia zbiorowego wspólnoty samorządowej oraz dobra wspólnego w rozumieniu art. 2 ust. 3 ustawy. Ma on przy tym charakter inicjujący: wnioskodawca nie domaga się stwierdzenia istniejącego indywidualnego uprawnienia, lecz oczekuje ustanowienia na przyszłość określonego standardu organizacyjnego.</w:t>
      </w:r>
    </w:p>
    <w:p w14:paraId="0FBD4B77" w14:textId="77777777" w:rsidR="00F52B2C" w:rsidRPr="0019415A" w:rsidRDefault="007C34C5" w:rsidP="0019415A">
      <w:pPr>
        <w:spacing w:after="0" w:line="259" w:lineRule="auto"/>
        <w:jc w:val="both"/>
        <w:rPr>
          <w:rFonts w:ascii="Bookman Old Style" w:hAnsi="Bookman Old Style"/>
          <w:lang w:val="pl-PL"/>
        </w:rPr>
      </w:pPr>
      <w:r w:rsidRPr="0019415A">
        <w:rPr>
          <w:rFonts w:ascii="Bookman Old Style" w:hAnsi="Bookman Old Style"/>
          <w:lang w:val="pl-PL"/>
        </w:rPr>
        <w:t>Znaczenie rozstrzygające ma art. 3 ustawy o petycjach, zgodnie z którym o tym, czy dane pismo jest petycją, decyduje treść żądania, a nie jego forma zewnętrzna. Samo oznaczenie pisma jako „petycja” nie byłoby zatem wystarczające, jednak w analizowanym przypadku także rzeczywista treść żądania odpowiada konstrukcji petycji. Postulat nagrywania i późniejszego publikowania jawnych posiedzeń komisji zmierza do wywołania określonego działania organów gminy w sferze organizacji i jawności funkcjonowania samorządu.</w:t>
      </w:r>
    </w:p>
    <w:p w14:paraId="6C04BC17" w14:textId="77777777" w:rsidR="00F52B2C" w:rsidRPr="0019415A" w:rsidRDefault="007C34C5" w:rsidP="0019415A">
      <w:pPr>
        <w:spacing w:after="0" w:line="259" w:lineRule="auto"/>
        <w:jc w:val="both"/>
        <w:rPr>
          <w:rFonts w:ascii="Bookman Old Style" w:hAnsi="Bookman Old Style"/>
          <w:lang w:val="pl-PL"/>
        </w:rPr>
      </w:pPr>
      <w:r w:rsidRPr="0019415A">
        <w:rPr>
          <w:rFonts w:ascii="Bookman Old Style" w:hAnsi="Bookman Old Style"/>
          <w:lang w:val="pl-PL"/>
        </w:rPr>
        <w:t xml:space="preserve">Pismo co do zasady zawiera również elementy wymagane przez art. 4 ust. 2 ustawy: wskazuje wnoszącego, jego miejsce zamieszkania i dane kontaktowe, oznacza adresata oraz precyzyjnie określa przedmiot żądania. Jeżeli petycja została wniesiona w formie pisemnej, należy dodatkowo zweryfikować spełnienie wymogu podpisu z art. 4 ust. 4. Jeżeli została przesłana za pomocą środków komunikacji elektronicznej, zastosowanie ma art. 4 ust. 5; ustawa wymaga w takim przypadku wskazania adresu poczty </w:t>
      </w:r>
      <w:r w:rsidRPr="0019415A">
        <w:rPr>
          <w:rFonts w:ascii="Bookman Old Style" w:hAnsi="Bookman Old Style"/>
          <w:lang w:val="pl-PL"/>
        </w:rPr>
        <w:lastRenderedPageBreak/>
        <w:t>elektronicznej, natomiast kwalifikowany podpis elektroniczny ma charakter fakultatywny.</w:t>
      </w:r>
    </w:p>
    <w:p w14:paraId="0CB0B07A" w14:textId="77777777" w:rsidR="00F52B2C" w:rsidRPr="0019415A" w:rsidRDefault="007C34C5" w:rsidP="0019415A">
      <w:pPr>
        <w:spacing w:after="0" w:line="259" w:lineRule="auto"/>
        <w:jc w:val="both"/>
        <w:rPr>
          <w:rFonts w:ascii="Bookman Old Style" w:hAnsi="Bookman Old Style"/>
          <w:lang w:val="pl-PL"/>
        </w:rPr>
      </w:pPr>
      <w:r w:rsidRPr="0019415A">
        <w:rPr>
          <w:rFonts w:ascii="Bookman Old Style" w:hAnsi="Bookman Old Style"/>
          <w:lang w:val="pl-PL"/>
        </w:rPr>
        <w:t>Wskazanie Rady Miejskiej w Stepnicy jako adresata jest co do istoty uzasadnione w zakresie, w jakim żądanie dotyczy zasad pracy komisji rady oraz ewentualnych zmian statutowych lub innych rozstrzygnięć należących do sfery działania organu stanowiącego. Nie oznacza to jednak, że każdy szczegół żądania musi pozostawać w wyłącznej kompetencji Rady. Elementy odnoszące się do technicznej organizacji rejestracji, obsługi urządzeń, sposobu zamieszczania plików lub wykonywania czynności przez urząd mogą pozostawać w sferze kompetencji Burmistrza jako organu wykonawczego i kierownika urzędu. Jeżeli po analizie treści petycji okaże się, że poszczególne jej części podlegają rozpatrzeniu przez różne podmioty, art. 6 ust. 2 ustawy nakazuje rozpatrzyć petycję w zakresie własnej właściwości i przekazać pozostałą część właściwemu podmiotowi, niezwłocznie, nie później niż w terminie 30 dni, z równoczesnym zawiadomieniem wnoszącego.</w:t>
      </w:r>
    </w:p>
    <w:p w14:paraId="716EDE02" w14:textId="77777777" w:rsidR="00F52B2C" w:rsidRPr="0019415A" w:rsidRDefault="007C34C5" w:rsidP="0019415A">
      <w:pPr>
        <w:spacing w:after="0" w:line="259" w:lineRule="auto"/>
        <w:jc w:val="both"/>
        <w:rPr>
          <w:rFonts w:ascii="Bookman Old Style" w:hAnsi="Bookman Old Style"/>
          <w:lang w:val="pl-PL"/>
        </w:rPr>
      </w:pPr>
      <w:r w:rsidRPr="0019415A">
        <w:rPr>
          <w:rFonts w:ascii="Bookman Old Style" w:hAnsi="Bookman Old Style"/>
          <w:lang w:val="pl-PL"/>
        </w:rPr>
        <w:t>Z punktu widzenia procedury nie zachodzi obecnie podstawa do pozostawienia pisma bez rozpatrzenia z uwagi na braki materialne. Ewentualne braki w oznaczeniu wnoszącego lub adresu skutkowałyby pozostawieniem petycji bez rozpatrzenia na podstawie art. 7 ust. 1, natomiast braki dotyczące formy, oznaczenia adresata lub określenia przedmiotu podlegałyby uzupełnieniu w trybie art. 7 ust. 2. Petycja skierowana do organu stanowiącego jednostki samorządu terytorialnego podlega rozpatrzeniu zgodnie z art. 9 ust. 2 ustawy przez ten organ, chyba że statut wskazuje właściwy organ wewnętrzny. Termin rozpatrzenia wynosi co do zasady trzy miesiące od dnia złożenia petycji, stosownie do art. 10 ust. 1.</w:t>
      </w:r>
    </w:p>
    <w:p w14:paraId="4547DA94" w14:textId="77777777" w:rsidR="00F52B2C" w:rsidRPr="0019415A" w:rsidRDefault="007C34C5" w:rsidP="0019415A">
      <w:pPr>
        <w:spacing w:after="0" w:line="259" w:lineRule="auto"/>
        <w:jc w:val="both"/>
        <w:rPr>
          <w:rFonts w:ascii="Bookman Old Style" w:hAnsi="Bookman Old Style"/>
          <w:lang w:val="pl-PL"/>
        </w:rPr>
      </w:pPr>
      <w:r w:rsidRPr="0019415A">
        <w:rPr>
          <w:rFonts w:ascii="Bookman Old Style" w:hAnsi="Bookman Old Style"/>
          <w:lang w:val="pl-PL"/>
        </w:rPr>
        <w:t>Ustawa przewiduje również obowiązek niezwłocznego zamieszczenia na stronie internetowej informacji o petycji i aktualizowania danych o przebiegu postępowania. Dane osobowe wnoszącego ujawnia się w tym trybie wyłącznie w zakresie wynikającym z ustawy i udzielonej zgody. W analizowanym piśmie wnoszący wyraził zgodę na udostępnienie imienia, nazwiska i adresu e-mail, wyłączając zgodę co do adresu zamieszkania i adresu do korespondencji, co powinno zostać uwzględnione przy publikacji.</w:t>
      </w:r>
    </w:p>
    <w:p w14:paraId="70993050" w14:textId="77777777" w:rsidR="00F52B2C" w:rsidRPr="0019415A" w:rsidRDefault="007C34C5" w:rsidP="0019415A">
      <w:pPr>
        <w:spacing w:after="0" w:line="259" w:lineRule="auto"/>
        <w:jc w:val="both"/>
        <w:rPr>
          <w:rFonts w:ascii="Bookman Old Style" w:hAnsi="Bookman Old Style"/>
          <w:lang w:val="pl-PL"/>
        </w:rPr>
      </w:pPr>
      <w:r w:rsidRPr="0019415A">
        <w:rPr>
          <w:rFonts w:ascii="Bookman Old Style" w:hAnsi="Bookman Old Style"/>
          <w:lang w:val="pl-PL"/>
        </w:rPr>
        <w:t>Sposób załatwienia petycji powinien zostać zakomunikowany wnoszącemu wraz z uzasadnieniem, zgodnie z art. 13 ust. 1 ustawy. Jednocześnie art. 13 ust. 2 wprost stanowi, że sposób załatwienia petycji nie może być przedmiotem skargi. Oznacza to, że samo nieuwzględnienie postulatu zawartego w petycji nie otwiera odrębnej drogi odwoławczej właściwej dla klasycznego postępowania administracyjnego.</w:t>
      </w:r>
    </w:p>
    <w:p w14:paraId="3FDF5104" w14:textId="77777777" w:rsidR="00F52B2C" w:rsidRPr="0019415A" w:rsidRDefault="007C34C5" w:rsidP="0019415A">
      <w:pPr>
        <w:spacing w:after="0" w:line="259" w:lineRule="auto"/>
        <w:jc w:val="both"/>
        <w:rPr>
          <w:rFonts w:ascii="Bookman Old Style" w:hAnsi="Bookman Old Style"/>
          <w:lang w:val="pl-PL"/>
        </w:rPr>
      </w:pPr>
      <w:r w:rsidRPr="0019415A">
        <w:rPr>
          <w:rFonts w:ascii="Bookman Old Style" w:hAnsi="Bookman Old Style"/>
          <w:lang w:val="pl-PL"/>
        </w:rPr>
        <w:t xml:space="preserve">W konsekwencji należy przyjąć, że analizowane pismo jest petycją w rozumieniu art. 2 i art. 3 ustawy z dnia 11 lipca 2014 r. o petycjach i powinno być procedowane w trybie tej ustawy. Kwalifikacji tej nie zmienia fakt, że część przedstawionych w nim postulatów ma charakter bardzo szczegółowy ani to, że obowiązujące przepisy nie ustanawiają obecnie powszechnego obowiązku nagrywania wszystkich posiedzeń komisji rady. </w:t>
      </w:r>
      <w:proofErr w:type="gramStart"/>
      <w:r w:rsidRPr="0019415A">
        <w:rPr>
          <w:rFonts w:ascii="Bookman Old Style" w:hAnsi="Bookman Old Style"/>
          <w:lang w:val="pl-PL"/>
        </w:rPr>
        <w:t>Ocena,</w:t>
      </w:r>
      <w:proofErr w:type="gramEnd"/>
      <w:r w:rsidRPr="0019415A">
        <w:rPr>
          <w:rFonts w:ascii="Bookman Old Style" w:hAnsi="Bookman Old Style"/>
          <w:lang w:val="pl-PL"/>
        </w:rPr>
        <w:t xml:space="preserve"> czy postulaty należy merytorycznie uwzględnić, jest odrębną kwestią od prawnej kwalifikacji pisma jako petycji.</w:t>
      </w:r>
    </w:p>
    <w:p w14:paraId="3B961FE0" w14:textId="434C7E14" w:rsidR="00F52B2C" w:rsidRPr="0019415A" w:rsidRDefault="00F52B2C" w:rsidP="0019415A">
      <w:pPr>
        <w:spacing w:after="0"/>
        <w:jc w:val="right"/>
        <w:rPr>
          <w:rFonts w:ascii="Bookman Old Style" w:hAnsi="Bookman Old Style"/>
          <w:lang w:val="pl-PL"/>
        </w:rPr>
      </w:pPr>
    </w:p>
    <w:sectPr w:rsidR="00F52B2C" w:rsidRPr="0019415A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FD5C4" w14:textId="77777777" w:rsidR="00171942" w:rsidRDefault="00171942">
      <w:pPr>
        <w:spacing w:after="0" w:line="240" w:lineRule="auto"/>
      </w:pPr>
      <w:r>
        <w:separator/>
      </w:r>
    </w:p>
  </w:endnote>
  <w:endnote w:type="continuationSeparator" w:id="0">
    <w:p w14:paraId="271FAD08" w14:textId="77777777" w:rsidR="00171942" w:rsidRDefault="00171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4C2F8" w14:textId="77777777" w:rsidR="00171942" w:rsidRDefault="00171942">
      <w:pPr>
        <w:spacing w:after="0" w:line="240" w:lineRule="auto"/>
      </w:pPr>
      <w:r>
        <w:separator/>
      </w:r>
    </w:p>
  </w:footnote>
  <w:footnote w:type="continuationSeparator" w:id="0">
    <w:p w14:paraId="0669EC59" w14:textId="77777777" w:rsidR="00171942" w:rsidRDefault="00171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A8617B"/>
    <w:multiLevelType w:val="hybridMultilevel"/>
    <w:tmpl w:val="B394B642"/>
    <w:lvl w:ilvl="0" w:tplc="D826B702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" w15:restartNumberingAfterBreak="0">
    <w:nsid w:val="2FC83D9A"/>
    <w:multiLevelType w:val="hybridMultilevel"/>
    <w:tmpl w:val="AE5C6CC8"/>
    <w:lvl w:ilvl="0" w:tplc="04B02C38">
      <w:numFmt w:val="bullet"/>
      <w:lvlText w:val="–"/>
      <w:lvlJc w:val="left"/>
      <w:pPr>
        <w:ind w:left="473" w:hanging="360"/>
      </w:pPr>
      <w:rPr>
        <w:rFonts w:ascii="Aptos" w:eastAsia="Aptos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1" w15:restartNumberingAfterBreak="0">
    <w:nsid w:val="578E1C6C"/>
    <w:multiLevelType w:val="hybridMultilevel"/>
    <w:tmpl w:val="18062614"/>
    <w:lvl w:ilvl="0" w:tplc="041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2" w15:restartNumberingAfterBreak="0">
    <w:nsid w:val="70286F68"/>
    <w:multiLevelType w:val="hybridMultilevel"/>
    <w:tmpl w:val="4670A234"/>
    <w:lvl w:ilvl="0" w:tplc="04150011">
      <w:start w:val="1"/>
      <w:numFmt w:val="decimal"/>
      <w:lvlText w:val="%1)"/>
      <w:lvlJc w:val="left"/>
      <w:pPr>
        <w:ind w:left="83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615333739">
    <w:abstractNumId w:val="8"/>
  </w:num>
  <w:num w:numId="2" w16cid:durableId="1444349541">
    <w:abstractNumId w:val="6"/>
  </w:num>
  <w:num w:numId="3" w16cid:durableId="1894081086">
    <w:abstractNumId w:val="5"/>
  </w:num>
  <w:num w:numId="4" w16cid:durableId="2040088056">
    <w:abstractNumId w:val="4"/>
  </w:num>
  <w:num w:numId="5" w16cid:durableId="1967925714">
    <w:abstractNumId w:val="7"/>
  </w:num>
  <w:num w:numId="6" w16cid:durableId="676153209">
    <w:abstractNumId w:val="3"/>
  </w:num>
  <w:num w:numId="7" w16cid:durableId="947156178">
    <w:abstractNumId w:val="2"/>
  </w:num>
  <w:num w:numId="8" w16cid:durableId="86931185">
    <w:abstractNumId w:val="1"/>
  </w:num>
  <w:num w:numId="9" w16cid:durableId="608507083">
    <w:abstractNumId w:val="0"/>
  </w:num>
  <w:num w:numId="10" w16cid:durableId="691414497">
    <w:abstractNumId w:val="11"/>
  </w:num>
  <w:num w:numId="11" w16cid:durableId="1115826758">
    <w:abstractNumId w:val="10"/>
  </w:num>
  <w:num w:numId="12" w16cid:durableId="895698922">
    <w:abstractNumId w:val="12"/>
  </w:num>
  <w:num w:numId="13" w16cid:durableId="21328250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942"/>
    <w:rsid w:val="0019415A"/>
    <w:rsid w:val="002475CB"/>
    <w:rsid w:val="0029639D"/>
    <w:rsid w:val="00326F90"/>
    <w:rsid w:val="0055196C"/>
    <w:rsid w:val="006122E6"/>
    <w:rsid w:val="007C34C5"/>
    <w:rsid w:val="00AA1D8D"/>
    <w:rsid w:val="00B47730"/>
    <w:rsid w:val="00CB0664"/>
    <w:rsid w:val="00E44FCC"/>
    <w:rsid w:val="00E5046C"/>
    <w:rsid w:val="00EC17EA"/>
    <w:rsid w:val="00F52B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337928"/>
  <w14:defaultImageDpi w14:val="300"/>
  <w15:docId w15:val="{C1514E38-7844-4075-BC27-006C22AC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eastAsia="Aptos" w:hAnsi="Apto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832</Words>
  <Characters>4994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Izabela Marian</cp:lastModifiedBy>
  <cp:revision>2</cp:revision>
  <dcterms:created xsi:type="dcterms:W3CDTF">2026-10-01T12:57:00Z</dcterms:created>
  <dcterms:modified xsi:type="dcterms:W3CDTF">2026-10-01T12:57:00Z</dcterms:modified>
  <cp:category/>
</cp:coreProperties>
</file>